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73" w:rsidRDefault="00EF158A">
      <w:pPr>
        <w:pStyle w:val="TitleStyle"/>
      </w:pPr>
      <w:bookmarkStart w:id="0" w:name="_GoBack"/>
      <w:bookmarkEnd w:id="0"/>
      <w:r>
        <w:t>Wzór oświadczenia w sprawie dostępności zgodnie z dyrektywą Parlamentu Europejskiego i Rady (UE) 2016/2102 w sprawie dostępności stron internetowych i mobilnych aplikacji organów sektora publicznego.</w:t>
      </w:r>
    </w:p>
    <w:p w:rsidR="00072B73" w:rsidRDefault="00EF158A">
      <w:pPr>
        <w:pStyle w:val="NormalStyle"/>
      </w:pPr>
      <w:r>
        <w:t>Dz.U.UE.L.2018.256.103 z dnia 2018.10.12</w:t>
      </w:r>
    </w:p>
    <w:p w:rsidR="00072B73" w:rsidRDefault="00EF158A">
      <w:pPr>
        <w:pStyle w:val="NormalStyle"/>
      </w:pPr>
      <w:r>
        <w:t xml:space="preserve">Status: Akt obowiązujący </w:t>
      </w:r>
    </w:p>
    <w:p w:rsidR="00072B73" w:rsidRDefault="00EF158A">
      <w:pPr>
        <w:pStyle w:val="NormalStyle"/>
      </w:pPr>
      <w:r>
        <w:t xml:space="preserve">Wersja od: 12 października 2018r. </w:t>
      </w:r>
    </w:p>
    <w:p w:rsidR="00072B73" w:rsidRDefault="00EF158A">
      <w:pPr>
        <w:spacing w:after="0"/>
      </w:pPr>
      <w:r>
        <w:br/>
      </w:r>
    </w:p>
    <w:p w:rsidR="00072B73" w:rsidRDefault="00EF158A">
      <w:pPr>
        <w:spacing w:after="0"/>
      </w:pPr>
      <w:r>
        <w:rPr>
          <w:b/>
          <w:color w:val="000000"/>
        </w:rPr>
        <w:t>Wejście w życie:</w:t>
      </w:r>
    </w:p>
    <w:p w:rsidR="00072B73" w:rsidRDefault="00EF158A">
      <w:pPr>
        <w:spacing w:after="0"/>
      </w:pPr>
      <w:r>
        <w:rPr>
          <w:color w:val="000000"/>
        </w:rPr>
        <w:t xml:space="preserve"> 1 listopada 2018 r.</w:t>
      </w:r>
    </w:p>
    <w:p w:rsidR="00072B73" w:rsidRDefault="00EF158A">
      <w:pPr>
        <w:spacing w:after="0"/>
      </w:pPr>
      <w:r>
        <w:rPr>
          <w:b/>
          <w:color w:val="000000"/>
        </w:rPr>
        <w:t>Numer CELEX:</w:t>
      </w:r>
    </w:p>
    <w:p w:rsidR="00072B73" w:rsidRDefault="00EF158A">
      <w:pPr>
        <w:spacing w:after="150"/>
      </w:pPr>
      <w:r>
        <w:rPr>
          <w:color w:val="000000"/>
        </w:rPr>
        <w:t>32018D1523</w:t>
      </w:r>
    </w:p>
    <w:p w:rsidR="00072B73" w:rsidRDefault="00EF158A">
      <w:pPr>
        <w:spacing w:after="0"/>
      </w:pPr>
      <w:r>
        <w:br/>
      </w:r>
    </w:p>
    <w:p w:rsidR="00072B73" w:rsidRDefault="00EF158A">
      <w:pPr>
        <w:spacing w:before="146" w:after="0"/>
        <w:jc w:val="center"/>
      </w:pPr>
      <w:r>
        <w:rPr>
          <w:b/>
          <w:color w:val="000000"/>
        </w:rPr>
        <w:t>DECYZJA WYKONAWCZA KOMISJI (UE) 2018/1523</w:t>
      </w:r>
    </w:p>
    <w:p w:rsidR="00072B73" w:rsidRDefault="00EF158A">
      <w:pPr>
        <w:spacing w:before="80" w:after="0"/>
        <w:jc w:val="center"/>
      </w:pPr>
      <w:r>
        <w:rPr>
          <w:color w:val="000000"/>
        </w:rPr>
        <w:t>z dnia 11 października 2018 r.</w:t>
      </w:r>
    </w:p>
    <w:p w:rsidR="00072B73" w:rsidRDefault="00EF158A">
      <w:pPr>
        <w:spacing w:before="80" w:after="0"/>
        <w:jc w:val="center"/>
      </w:pPr>
      <w:r>
        <w:rPr>
          <w:b/>
          <w:color w:val="000000"/>
        </w:rPr>
        <w:t>ustanawiająca wzór oświadczenia w sprawie dostępności zg</w:t>
      </w:r>
      <w:r>
        <w:rPr>
          <w:b/>
          <w:color w:val="000000"/>
        </w:rPr>
        <w:t>odnie z dyrektywą Parlamentu Europejskiego i Rady (UE) 2016/2102 w sprawie dostępności stron internetowych i mobilnych aplikacji organów sektora publicznego</w:t>
      </w:r>
    </w:p>
    <w:p w:rsidR="00072B73" w:rsidRDefault="00EF158A">
      <w:pPr>
        <w:spacing w:after="0"/>
        <w:jc w:val="center"/>
      </w:pPr>
      <w:r>
        <w:rPr>
          <w:color w:val="000000"/>
        </w:rPr>
        <w:t>(Tekst mający znaczenie dla EOG)</w:t>
      </w:r>
    </w:p>
    <w:p w:rsidR="00072B73" w:rsidRDefault="00EF158A">
      <w:pPr>
        <w:spacing w:before="80" w:after="0"/>
        <w:jc w:val="center"/>
      </w:pPr>
      <w:r>
        <w:rPr>
          <w:color w:val="000000"/>
        </w:rPr>
        <w:t>KOMISJA EUROPEJSKA,</w:t>
      </w:r>
    </w:p>
    <w:p w:rsidR="00072B73" w:rsidRDefault="00EF158A">
      <w:pPr>
        <w:spacing w:before="25" w:after="0"/>
        <w:jc w:val="center"/>
      </w:pPr>
      <w:r>
        <w:rPr>
          <w:color w:val="000000"/>
        </w:rPr>
        <w:t xml:space="preserve">uwzględniając </w:t>
      </w:r>
      <w:r>
        <w:rPr>
          <w:color w:val="1B1B1B"/>
        </w:rPr>
        <w:t>Traktat</w:t>
      </w:r>
      <w:r>
        <w:rPr>
          <w:color w:val="000000"/>
        </w:rPr>
        <w:t xml:space="preserve"> o funkcjonowaniu Unii Eu</w:t>
      </w:r>
      <w:r>
        <w:rPr>
          <w:color w:val="000000"/>
        </w:rPr>
        <w:t>ropejskiej,</w:t>
      </w:r>
    </w:p>
    <w:p w:rsidR="00072B73" w:rsidRDefault="00EF158A">
      <w:pPr>
        <w:spacing w:before="25" w:after="0"/>
        <w:jc w:val="center"/>
      </w:pPr>
      <w:r>
        <w:rPr>
          <w:color w:val="000000"/>
        </w:rPr>
        <w:t xml:space="preserve">uwzględniając dyrektywę Parlamentu Europejskiego i Rady (UE) 2016/2102 z dnia 26 października 2016 r. w sprawie dostępności stron internetowych i mobilnych aplikacji organów sektora publicznego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, w szczególności jej </w:t>
      </w:r>
      <w:r>
        <w:rPr>
          <w:color w:val="1B1B1B"/>
        </w:rPr>
        <w:t>art. 7 ust. 2</w:t>
      </w:r>
      <w:r>
        <w:rPr>
          <w:color w:val="000000"/>
        </w:rPr>
        <w:t>,</w:t>
      </w:r>
    </w:p>
    <w:p w:rsidR="00072B73" w:rsidRDefault="00EF158A">
      <w:pPr>
        <w:spacing w:before="25" w:after="0"/>
        <w:jc w:val="center"/>
      </w:pPr>
      <w:r>
        <w:rPr>
          <w:color w:val="000000"/>
        </w:rPr>
        <w:t>po konsulta</w:t>
      </w:r>
      <w:r>
        <w:rPr>
          <w:color w:val="000000"/>
        </w:rPr>
        <w:t xml:space="preserve">cji z komitetem ustanowionym na mocy </w:t>
      </w:r>
      <w:r>
        <w:rPr>
          <w:color w:val="1B1B1B"/>
        </w:rPr>
        <w:t>art. 11 ust. 1</w:t>
      </w:r>
      <w:r>
        <w:rPr>
          <w:color w:val="000000"/>
        </w:rPr>
        <w:t xml:space="preserve"> dyrektywy (UE) 2016/2102,</w:t>
      </w:r>
    </w:p>
    <w:p w:rsidR="00072B73" w:rsidRDefault="00EF158A">
      <w:pPr>
        <w:spacing w:before="80" w:after="0"/>
        <w:jc w:val="center"/>
      </w:pPr>
      <w:r>
        <w:rPr>
          <w:color w:val="000000"/>
        </w:rPr>
        <w:t>a także mając na uwadze, co następuje:</w:t>
      </w:r>
    </w:p>
    <w:p w:rsidR="00072B73" w:rsidRDefault="00EF158A">
      <w:pPr>
        <w:spacing w:before="25" w:after="0"/>
      </w:pPr>
      <w:r>
        <w:rPr>
          <w:color w:val="000000"/>
        </w:rPr>
        <w:t xml:space="preserve">(1) </w:t>
      </w:r>
      <w:r>
        <w:rPr>
          <w:color w:val="1B1B1B"/>
        </w:rPr>
        <w:t>Dyrektywa</w:t>
      </w:r>
      <w:r>
        <w:rPr>
          <w:color w:val="000000"/>
        </w:rPr>
        <w:t xml:space="preserve"> (UE) 2016/2102 ustanawia wspólne wymogi dostępności dla stron internetowych i aplikacji mobilnych organów sektora publicznego</w:t>
      </w:r>
      <w:r>
        <w:rPr>
          <w:color w:val="000000"/>
        </w:rPr>
        <w:t xml:space="preserve"> oraz określa wymogi dotyczące oświadczeń w sprawie dostępności, które muszą być udostępnione przez organy sektora publicznego w odniesieniu do zgodności ich stron internetowych i aplikacji mobilnych z tą dyrektywą.</w:t>
      </w:r>
    </w:p>
    <w:p w:rsidR="00072B73" w:rsidRDefault="00EF158A">
      <w:pPr>
        <w:spacing w:before="25" w:after="0"/>
      </w:pPr>
      <w:r>
        <w:rPr>
          <w:color w:val="000000"/>
        </w:rPr>
        <w:t>(2) Państwa członkowskie powinny zapewni</w:t>
      </w:r>
      <w:r>
        <w:rPr>
          <w:color w:val="000000"/>
        </w:rPr>
        <w:t>ć, by organy sektora publicznego udostępniły oświadczenia w sprawie dostępności, korzystając z wzoru oświadczenia w sprawie dostępności ustanowionego przez Komisję.</w:t>
      </w:r>
    </w:p>
    <w:p w:rsidR="00072B73" w:rsidRDefault="00EF158A">
      <w:pPr>
        <w:spacing w:before="25" w:after="0"/>
      </w:pPr>
      <w:r>
        <w:rPr>
          <w:color w:val="000000"/>
        </w:rPr>
        <w:t>(3) Zachęca się państwa członkowskie do zapewnienia, aby organy sektora publicznego dokonyw</w:t>
      </w:r>
      <w:r>
        <w:rPr>
          <w:color w:val="000000"/>
        </w:rPr>
        <w:t>ały regularnego (przynajmniej raz do roku) przeglądu i aktualizacji swoich oświadczeń w sprawie dostępności.</w:t>
      </w:r>
    </w:p>
    <w:p w:rsidR="00072B73" w:rsidRDefault="00EF158A">
      <w:pPr>
        <w:spacing w:before="25" w:after="0"/>
      </w:pPr>
      <w:r>
        <w:rPr>
          <w:color w:val="000000"/>
        </w:rPr>
        <w:t>(4) Aby zapewnić łatwy dostęp do oświadczeń w sprawie dostępności, państwa członkowskie powinny zachęcać organy sektora publicznego do udostępniani</w:t>
      </w:r>
      <w:r>
        <w:rPr>
          <w:color w:val="000000"/>
        </w:rPr>
        <w:t xml:space="preserve">a swoich oświadczeń na </w:t>
      </w:r>
      <w:r>
        <w:rPr>
          <w:color w:val="000000"/>
        </w:rPr>
        <w:lastRenderedPageBreak/>
        <w:t>każdej stronie witryny internetowej. Oświadczenia te mogą być również dostępne w ramach aplikacji mobilnej.</w:t>
      </w:r>
    </w:p>
    <w:p w:rsidR="00072B73" w:rsidRDefault="00EF158A">
      <w:pPr>
        <w:spacing w:before="25" w:after="0"/>
      </w:pPr>
      <w:r>
        <w:rPr>
          <w:color w:val="000000"/>
        </w:rPr>
        <w:t>(5) Aby ułatwić wyszukiwanie oraz zwiększyć dostępność i umożliwić ponowne wykorzystanie informacji zawartych w oświadczeniu w sprawie dostępności, powinno ono być udostępnione, w stosownych przypadkach, w formacie przeznaczonym do odczytu komputerowego, o</w:t>
      </w:r>
      <w:r>
        <w:rPr>
          <w:color w:val="000000"/>
        </w:rPr>
        <w:t xml:space="preserve"> którym mowa w </w:t>
      </w:r>
      <w:r>
        <w:rPr>
          <w:color w:val="1B1B1B"/>
        </w:rPr>
        <w:t>dyrektywie</w:t>
      </w:r>
      <w:r>
        <w:rPr>
          <w:color w:val="000000"/>
        </w:rPr>
        <w:t xml:space="preserve"> 2003/98/WE Parlamentu Europejskiego i Rady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,</w:t>
      </w:r>
    </w:p>
    <w:p w:rsidR="00072B73" w:rsidRDefault="00EF158A">
      <w:pPr>
        <w:spacing w:before="25" w:after="0"/>
      </w:pPr>
      <w:r>
        <w:rPr>
          <w:color w:val="000000"/>
        </w:rPr>
        <w:t>PRZYJMUJE NINIEJSZĄ DECYZJĘ:</w:t>
      </w:r>
    </w:p>
    <w:p w:rsidR="00072B73" w:rsidRDefault="00072B73">
      <w:pPr>
        <w:spacing w:before="80" w:after="0"/>
      </w:pPr>
    </w:p>
    <w:p w:rsidR="00072B73" w:rsidRDefault="00EF158A">
      <w:pPr>
        <w:spacing w:after="0"/>
      </w:pPr>
      <w:r>
        <w:rPr>
          <w:b/>
          <w:color w:val="000000"/>
        </w:rPr>
        <w:t xml:space="preserve">Artykuł  1 </w:t>
      </w:r>
    </w:p>
    <w:p w:rsidR="00072B73" w:rsidRDefault="00EF158A">
      <w:pPr>
        <w:spacing w:after="0"/>
      </w:pPr>
      <w:r>
        <w:rPr>
          <w:b/>
          <w:color w:val="000000"/>
        </w:rPr>
        <w:t>Przedmiot</w:t>
      </w:r>
    </w:p>
    <w:p w:rsidR="00072B73" w:rsidRDefault="00EF158A">
      <w:pPr>
        <w:spacing w:before="25" w:after="0"/>
        <w:jc w:val="both"/>
      </w:pPr>
      <w:r>
        <w:rPr>
          <w:color w:val="000000"/>
        </w:rPr>
        <w:t>Niniejsza decyzja ustanawia wzór oświadczenia w sprawie dostępności, który ma być stosowany przez organy sektora publicznego w pańs</w:t>
      </w:r>
      <w:r>
        <w:rPr>
          <w:color w:val="000000"/>
        </w:rPr>
        <w:t xml:space="preserve">twach członkowskich w odniesieniu do zgodności ich stron internetowych i aplikacji mobilnych z wymogami </w:t>
      </w:r>
      <w:r>
        <w:rPr>
          <w:color w:val="1B1B1B"/>
        </w:rPr>
        <w:t>dyrektywy</w:t>
      </w:r>
      <w:r>
        <w:rPr>
          <w:color w:val="000000"/>
        </w:rPr>
        <w:t xml:space="preserve"> (UE) 2016/2102, jak określono w załączniku do niniejszej decyzji.</w:t>
      </w:r>
    </w:p>
    <w:p w:rsidR="00072B73" w:rsidRDefault="00072B73">
      <w:pPr>
        <w:spacing w:before="80" w:after="0"/>
      </w:pPr>
    </w:p>
    <w:p w:rsidR="00072B73" w:rsidRDefault="00EF158A">
      <w:pPr>
        <w:spacing w:after="0"/>
      </w:pPr>
      <w:r>
        <w:rPr>
          <w:b/>
          <w:color w:val="000000"/>
        </w:rPr>
        <w:t xml:space="preserve">Artykuł  2 </w:t>
      </w:r>
    </w:p>
    <w:p w:rsidR="00072B73" w:rsidRDefault="00EF158A">
      <w:pPr>
        <w:spacing w:after="0"/>
      </w:pPr>
      <w:r>
        <w:rPr>
          <w:b/>
          <w:color w:val="000000"/>
        </w:rPr>
        <w:t>Format oświadczenia</w:t>
      </w:r>
    </w:p>
    <w:p w:rsidR="00072B73" w:rsidRDefault="00EF158A">
      <w:pPr>
        <w:spacing w:before="25" w:after="0"/>
        <w:jc w:val="both"/>
      </w:pPr>
      <w:r>
        <w:rPr>
          <w:color w:val="000000"/>
        </w:rPr>
        <w:t xml:space="preserve">Oświadczenie udostępnia się w formacie umożliwiającym dostęp zgodnie z </w:t>
      </w:r>
      <w:r>
        <w:rPr>
          <w:color w:val="1B1B1B"/>
        </w:rPr>
        <w:t>art. 4</w:t>
      </w:r>
      <w:r>
        <w:rPr>
          <w:color w:val="000000"/>
        </w:rPr>
        <w:t xml:space="preserve"> dyrektywy (UE) 2016/2102 oraz, w stosownych przypadkach, w formacie przeznaczonym do odczytu komputerowego, o którym mowa w </w:t>
      </w:r>
      <w:r>
        <w:rPr>
          <w:color w:val="1B1B1B"/>
        </w:rPr>
        <w:t>art. 2 pkt 6</w:t>
      </w:r>
      <w:r>
        <w:rPr>
          <w:color w:val="000000"/>
        </w:rPr>
        <w:t xml:space="preserve"> dyrektywy 2003/98/WE.</w:t>
      </w:r>
    </w:p>
    <w:p w:rsidR="00072B73" w:rsidRDefault="00072B73">
      <w:pPr>
        <w:spacing w:before="80" w:after="0"/>
      </w:pPr>
    </w:p>
    <w:p w:rsidR="00072B73" w:rsidRDefault="00EF158A">
      <w:pPr>
        <w:spacing w:after="0"/>
      </w:pPr>
      <w:r>
        <w:rPr>
          <w:b/>
          <w:color w:val="000000"/>
        </w:rPr>
        <w:t xml:space="preserve">Artykuł  3 </w:t>
      </w:r>
    </w:p>
    <w:p w:rsidR="00072B73" w:rsidRDefault="00EF158A">
      <w:pPr>
        <w:spacing w:after="0"/>
      </w:pPr>
      <w:r>
        <w:rPr>
          <w:b/>
          <w:color w:val="000000"/>
        </w:rPr>
        <w:t>Przygo</w:t>
      </w:r>
      <w:r>
        <w:rPr>
          <w:b/>
          <w:color w:val="000000"/>
        </w:rPr>
        <w:t>towanie oświadczenia</w:t>
      </w:r>
    </w:p>
    <w:p w:rsidR="00072B73" w:rsidRDefault="00EF158A">
      <w:pPr>
        <w:spacing w:before="26" w:after="0"/>
      </w:pPr>
      <w:r>
        <w:rPr>
          <w:color w:val="000000"/>
        </w:rPr>
        <w:t xml:space="preserve">1.  Państwa członkowskie zapewniają, aby treść zawarta w oświadczeniu, jeśli chodzi o zgodność z wymogami określonymi w </w:t>
      </w:r>
      <w:r>
        <w:rPr>
          <w:color w:val="1B1B1B"/>
        </w:rPr>
        <w:t>dyrektywie</w:t>
      </w:r>
      <w:r>
        <w:rPr>
          <w:color w:val="000000"/>
        </w:rPr>
        <w:t xml:space="preserve"> (UE) 2016/2102, była precyzyjna i opierała się na jednym z następujących elementów:</w:t>
      </w:r>
    </w:p>
    <w:p w:rsidR="00072B73" w:rsidRDefault="00EF158A">
      <w:pPr>
        <w:spacing w:after="0"/>
        <w:ind w:left="373"/>
      </w:pPr>
      <w:r>
        <w:rPr>
          <w:color w:val="000000"/>
        </w:rPr>
        <w:t>a) rzeczywistej ocen</w:t>
      </w:r>
      <w:r>
        <w:rPr>
          <w:color w:val="000000"/>
        </w:rPr>
        <w:t xml:space="preserve">ie zgodności strony internetowej lub aplikacji mobilnej z wymogami </w:t>
      </w:r>
      <w:r>
        <w:rPr>
          <w:color w:val="1B1B1B"/>
        </w:rPr>
        <w:t>dyrektywy</w:t>
      </w:r>
      <w:r>
        <w:rPr>
          <w:color w:val="000000"/>
        </w:rPr>
        <w:t xml:space="preserve"> (UE) 2016/2102, np.:</w:t>
      </w:r>
    </w:p>
    <w:p w:rsidR="00072B73" w:rsidRDefault="00EF158A">
      <w:pPr>
        <w:spacing w:after="0"/>
        <w:ind w:left="373"/>
      </w:pPr>
      <w:r>
        <w:rPr>
          <w:color w:val="000000"/>
        </w:rPr>
        <w:t>- samoocenie dokonanej przez organ sektora publicznego,</w:t>
      </w:r>
    </w:p>
    <w:p w:rsidR="00072B73" w:rsidRDefault="00EF158A">
      <w:pPr>
        <w:spacing w:after="0"/>
        <w:ind w:left="373"/>
      </w:pPr>
      <w:r>
        <w:rPr>
          <w:color w:val="000000"/>
        </w:rPr>
        <w:t>- ocenie przeprowadzonej przez stronę trzecią, na przykład w wyniku certyfikacji;</w:t>
      </w:r>
    </w:p>
    <w:p w:rsidR="00072B73" w:rsidRDefault="00EF158A">
      <w:pPr>
        <w:spacing w:after="0"/>
        <w:ind w:left="373"/>
      </w:pPr>
      <w:r>
        <w:rPr>
          <w:color w:val="000000"/>
        </w:rPr>
        <w:t xml:space="preserve">b) wszelkich innych </w:t>
      </w:r>
      <w:r>
        <w:rPr>
          <w:color w:val="000000"/>
        </w:rPr>
        <w:t>środkach uznanych za właściwe przez państwa członkowskie, dających równorzędną pewność, że treść zawarta w oświadczeniu jest precyzyjna.</w:t>
      </w:r>
    </w:p>
    <w:p w:rsidR="00072B73" w:rsidRDefault="00EF158A">
      <w:pPr>
        <w:spacing w:before="26" w:after="0"/>
      </w:pPr>
      <w:r>
        <w:rPr>
          <w:color w:val="000000"/>
        </w:rPr>
        <w:t>2.  Oświadczenie zawiera wskazanie zastosowanej metody, o której mowa w ust. 1.</w:t>
      </w:r>
    </w:p>
    <w:p w:rsidR="00072B73" w:rsidRDefault="00072B73">
      <w:pPr>
        <w:spacing w:before="80" w:after="0"/>
      </w:pPr>
    </w:p>
    <w:p w:rsidR="00072B73" w:rsidRDefault="00EF158A">
      <w:pPr>
        <w:spacing w:after="0"/>
      </w:pPr>
      <w:r>
        <w:rPr>
          <w:b/>
          <w:color w:val="000000"/>
        </w:rPr>
        <w:t xml:space="preserve">Artykuł  4 </w:t>
      </w:r>
    </w:p>
    <w:p w:rsidR="00072B73" w:rsidRDefault="00EF158A">
      <w:pPr>
        <w:spacing w:after="0"/>
      </w:pPr>
      <w:r>
        <w:rPr>
          <w:b/>
          <w:color w:val="000000"/>
        </w:rPr>
        <w:t>Dostosowanie oświadczenia</w:t>
      </w:r>
    </w:p>
    <w:p w:rsidR="00072B73" w:rsidRDefault="00EF158A">
      <w:pPr>
        <w:spacing w:before="26" w:after="0"/>
      </w:pPr>
      <w:r>
        <w:rPr>
          <w:color w:val="000000"/>
        </w:rPr>
        <w:t>1.  Państwa członkowskie zapewniają, aby organy sektora publicznego podawały w swoich oświadczeniach przynajmniej wymogi dotyczące obowiązkowej zawartości określone w sekcji 1 załącznika.</w:t>
      </w:r>
    </w:p>
    <w:p w:rsidR="00072B73" w:rsidRDefault="00EF158A">
      <w:pPr>
        <w:spacing w:before="26" w:after="0"/>
      </w:pPr>
      <w:r>
        <w:rPr>
          <w:color w:val="000000"/>
        </w:rPr>
        <w:t>2.  Państwa członkowskie mogą dodać wymogi, które wykraczają poza za</w:t>
      </w:r>
      <w:r>
        <w:rPr>
          <w:color w:val="000000"/>
        </w:rPr>
        <w:t>kres opcjonalnej treści przewidziany w sekcji 2 załącznika.</w:t>
      </w:r>
    </w:p>
    <w:p w:rsidR="00072B73" w:rsidRDefault="00072B73">
      <w:pPr>
        <w:spacing w:before="80" w:after="0"/>
      </w:pPr>
    </w:p>
    <w:p w:rsidR="00072B73" w:rsidRDefault="00EF158A">
      <w:pPr>
        <w:spacing w:after="0"/>
      </w:pPr>
      <w:r>
        <w:rPr>
          <w:b/>
          <w:color w:val="000000"/>
        </w:rPr>
        <w:t xml:space="preserve">Artykuł  5 </w:t>
      </w:r>
    </w:p>
    <w:p w:rsidR="00072B73" w:rsidRDefault="00EF158A">
      <w:pPr>
        <w:spacing w:after="0"/>
      </w:pPr>
      <w:r>
        <w:rPr>
          <w:b/>
          <w:color w:val="000000"/>
        </w:rPr>
        <w:t>Wejście w życie</w:t>
      </w:r>
    </w:p>
    <w:p w:rsidR="00072B73" w:rsidRDefault="00EF158A">
      <w:pPr>
        <w:spacing w:before="25" w:after="0"/>
        <w:jc w:val="both"/>
      </w:pPr>
      <w:r>
        <w:rPr>
          <w:color w:val="000000"/>
        </w:rPr>
        <w:t>Niniejsza decyzja wchodzi w życie dwudziestego dnia po jej opublikowaniu w Dzienniku Urzędowym Unii Europejskiej.</w:t>
      </w:r>
    </w:p>
    <w:p w:rsidR="00072B73" w:rsidRDefault="00EF158A">
      <w:pPr>
        <w:spacing w:after="0"/>
      </w:pPr>
      <w:r>
        <w:rPr>
          <w:color w:val="000000"/>
        </w:rPr>
        <w:t>Sporządzono w Brukseli dnia 11 października 2018 r.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94"/>
        <w:gridCol w:w="4763"/>
      </w:tblGrid>
      <w:tr w:rsidR="00072B73">
        <w:trPr>
          <w:trHeight w:val="30"/>
          <w:tblCellSpacing w:w="0" w:type="auto"/>
        </w:trPr>
        <w:tc>
          <w:tcPr>
            <w:tcW w:w="6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73" w:rsidRDefault="00072B73"/>
        </w:tc>
        <w:tc>
          <w:tcPr>
            <w:tcW w:w="6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73" w:rsidRDefault="00EF158A">
            <w:pPr>
              <w:spacing w:after="0"/>
              <w:jc w:val="center"/>
            </w:pPr>
            <w:r>
              <w:rPr>
                <w:i/>
                <w:color w:val="000000"/>
              </w:rPr>
              <w:t>W imieniu Komisji</w:t>
            </w:r>
          </w:p>
        </w:tc>
      </w:tr>
      <w:tr w:rsidR="00072B73">
        <w:trPr>
          <w:trHeight w:val="30"/>
          <w:tblCellSpacing w:w="0" w:type="auto"/>
        </w:trPr>
        <w:tc>
          <w:tcPr>
            <w:tcW w:w="6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73" w:rsidRDefault="00072B73"/>
        </w:tc>
        <w:tc>
          <w:tcPr>
            <w:tcW w:w="6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73" w:rsidRDefault="00EF158A">
            <w:pPr>
              <w:spacing w:after="0"/>
              <w:jc w:val="center"/>
            </w:pPr>
            <w:r>
              <w:rPr>
                <w:color w:val="000000"/>
              </w:rPr>
              <w:t>Jean-Claude JUNCKER</w:t>
            </w:r>
          </w:p>
        </w:tc>
      </w:tr>
      <w:tr w:rsidR="00072B73">
        <w:trPr>
          <w:trHeight w:val="30"/>
          <w:tblCellSpacing w:w="0" w:type="auto"/>
        </w:trPr>
        <w:tc>
          <w:tcPr>
            <w:tcW w:w="6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73" w:rsidRDefault="00072B73"/>
        </w:tc>
        <w:tc>
          <w:tcPr>
            <w:tcW w:w="6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B73" w:rsidRDefault="00EF158A">
            <w:pPr>
              <w:spacing w:after="0"/>
              <w:jc w:val="center"/>
            </w:pPr>
            <w:r>
              <w:rPr>
                <w:i/>
                <w:color w:val="000000"/>
              </w:rPr>
              <w:t>Przewodniczący</w:t>
            </w:r>
          </w:p>
        </w:tc>
      </w:tr>
    </w:tbl>
    <w:p w:rsidR="00072B73" w:rsidRDefault="00072B73">
      <w:pPr>
        <w:spacing w:after="0"/>
      </w:pPr>
    </w:p>
    <w:p w:rsidR="00072B73" w:rsidRDefault="00EF158A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072B73" w:rsidRDefault="00EF158A">
      <w:pPr>
        <w:spacing w:before="25" w:after="0"/>
        <w:jc w:val="center"/>
      </w:pPr>
      <w:r>
        <w:rPr>
          <w:b/>
          <w:color w:val="000000"/>
        </w:rPr>
        <w:t>WZÓR OŚWIADCZENIA W SPRAWIE DOSTĘPNOŚCI</w:t>
      </w:r>
    </w:p>
    <w:p w:rsidR="00072B73" w:rsidRDefault="00EF158A">
      <w:pPr>
        <w:spacing w:after="0"/>
      </w:pPr>
      <w:r>
        <w:rPr>
          <w:b/>
          <w:color w:val="000000"/>
        </w:rPr>
        <w:t>Instrukcja</w:t>
      </w:r>
    </w:p>
    <w:p w:rsidR="00072B73" w:rsidRDefault="00EF158A">
      <w:pPr>
        <w:spacing w:before="25" w:after="0"/>
        <w:jc w:val="both"/>
      </w:pPr>
      <w:r>
        <w:rPr>
          <w:color w:val="000000"/>
        </w:rPr>
        <w:t>Tekst kursywą organ sektora publicznego odpowiednio zmienia lub usuwa.</w:t>
      </w:r>
    </w:p>
    <w:p w:rsidR="00072B73" w:rsidRDefault="00EF158A">
      <w:pPr>
        <w:spacing w:before="25" w:after="0"/>
        <w:jc w:val="both"/>
      </w:pPr>
      <w:r>
        <w:rPr>
          <w:color w:val="000000"/>
        </w:rPr>
        <w:t>Wszystkie przypisy należy usunąć przed publikacją oświadczenia w</w:t>
      </w:r>
      <w:r>
        <w:rPr>
          <w:color w:val="000000"/>
        </w:rPr>
        <w:t xml:space="preserve"> sprawie dostępności.</w:t>
      </w:r>
    </w:p>
    <w:p w:rsidR="00072B73" w:rsidRDefault="00EF158A">
      <w:pPr>
        <w:spacing w:before="25" w:after="0"/>
        <w:jc w:val="both"/>
      </w:pPr>
      <w:r>
        <w:rPr>
          <w:color w:val="000000"/>
        </w:rPr>
        <w:t>Oświadczenie w sprawie dostępności powinno być łatwe do odnalezienia przez użytkownika. Odnośnik do oświadczenia w sprawie dostępności powinien być umieszczony na stronie startowej strony internetowej lub dostępny na każdej stronie, n</w:t>
      </w:r>
      <w:r>
        <w:rPr>
          <w:color w:val="000000"/>
        </w:rPr>
        <w:t xml:space="preserve">p. w statycznym nagłówku lub statycznej stopce. W oświadczeniu w sprawie dostępności można użyć znormalizowanego adresu URL. W przypadku aplikacji mobilnych oświadczenie powinno być umieszczone w sposób określony w </w:t>
      </w:r>
      <w:r>
        <w:rPr>
          <w:color w:val="1B1B1B"/>
        </w:rPr>
        <w:t>art. 7 ust. 1</w:t>
      </w:r>
      <w:r>
        <w:rPr>
          <w:color w:val="000000"/>
        </w:rPr>
        <w:t xml:space="preserve"> akapit trzeci dyrektywy (UE</w:t>
      </w:r>
      <w:r>
        <w:rPr>
          <w:color w:val="000000"/>
        </w:rPr>
        <w:t>) 2016/2102. Oświadczenie może być również dostępne w obrębie aplikacji mobilnej.</w:t>
      </w:r>
    </w:p>
    <w:p w:rsidR="00072B73" w:rsidRDefault="00072B73">
      <w:pPr>
        <w:spacing w:after="0"/>
      </w:pPr>
    </w:p>
    <w:p w:rsidR="00072B73" w:rsidRDefault="00EF158A">
      <w:pPr>
        <w:spacing w:before="80" w:after="0"/>
        <w:jc w:val="center"/>
      </w:pPr>
      <w:r>
        <w:rPr>
          <w:b/>
          <w:color w:val="000000"/>
        </w:rPr>
        <w:t xml:space="preserve">SEKCJA  1 </w:t>
      </w:r>
    </w:p>
    <w:p w:rsidR="00072B73" w:rsidRDefault="00EF158A">
      <w:pPr>
        <w:spacing w:before="25" w:after="0"/>
        <w:jc w:val="center"/>
      </w:pPr>
      <w:r>
        <w:rPr>
          <w:b/>
          <w:color w:val="000000"/>
        </w:rPr>
        <w:t>WYMOGI DOTYCZĄCE OBOWIĄZKOWEJ TREŚCI</w:t>
      </w:r>
    </w:p>
    <w:p w:rsidR="00072B73" w:rsidRDefault="00EF158A">
      <w:pPr>
        <w:spacing w:after="0"/>
      </w:pPr>
      <w:r>
        <w:rPr>
          <w:color w:val="000000"/>
        </w:rPr>
        <w:t>OŚWIADCZENIE W SPRAWIE DOSTĘPNOŚCI</w:t>
      </w:r>
    </w:p>
    <w:p w:rsidR="00072B73" w:rsidRDefault="00EF158A">
      <w:pPr>
        <w:spacing w:before="25" w:after="0"/>
        <w:jc w:val="both"/>
      </w:pPr>
      <w:r>
        <w:rPr>
          <w:i/>
          <w:color w:val="000000"/>
        </w:rPr>
        <w:t xml:space="preserve">[Nazwa organu sektora publicznego] </w:t>
      </w:r>
      <w:r>
        <w:rPr>
          <w:color w:val="000000"/>
        </w:rPr>
        <w:t xml:space="preserve">zobowiązuje się zapewnić dostępność </w:t>
      </w:r>
      <w:r>
        <w:rPr>
          <w:i/>
          <w:color w:val="000000"/>
        </w:rPr>
        <w:t>[swojej strony inte</w:t>
      </w:r>
      <w:r>
        <w:rPr>
          <w:i/>
          <w:color w:val="000000"/>
        </w:rPr>
        <w:t xml:space="preserve">rnetowej (swoich stron internetowych)] [oraz] [swojej aplikacji mobilnej (swoich aplikacji mobilnych)] </w:t>
      </w:r>
      <w:r>
        <w:rPr>
          <w:color w:val="000000"/>
        </w:rPr>
        <w:t xml:space="preserve">zgodnie z </w:t>
      </w:r>
      <w:r>
        <w:rPr>
          <w:i/>
          <w:color w:val="000000"/>
        </w:rPr>
        <w:t>[przepisy krajowe transponujące dyrektywę Parlamentu Europejskiego i Rady (UE) 2016/2102X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i/>
          <w:color w:val="000000"/>
        </w:rPr>
        <w:t>].</w:t>
      </w:r>
    </w:p>
    <w:p w:rsidR="00072B73" w:rsidRDefault="00EF158A">
      <w:pPr>
        <w:spacing w:before="25" w:after="0"/>
        <w:jc w:val="both"/>
      </w:pPr>
      <w:r>
        <w:rPr>
          <w:color w:val="000000"/>
        </w:rPr>
        <w:t xml:space="preserve">Niniejsze oświadczenie w sprawie dostępności ma zastosowanie do </w:t>
      </w:r>
      <w:r>
        <w:rPr>
          <w:i/>
          <w:color w:val="000000"/>
        </w:rPr>
        <w:t xml:space="preserve">[proszę podać zakres oświadczenia, np. strona internetowa (strony internetowe)/aplikacja mobilna (aplikacje </w:t>
      </w:r>
      <w:proofErr w:type="spellStart"/>
      <w:r>
        <w:rPr>
          <w:i/>
          <w:color w:val="000000"/>
        </w:rPr>
        <w:t>mobilnei</w:t>
      </w:r>
      <w:proofErr w:type="spellEnd"/>
      <w:r>
        <w:rPr>
          <w:i/>
          <w:color w:val="000000"/>
        </w:rPr>
        <w:t>), do których odnosi się oświadczenie, stosownie do przypadku].</w:t>
      </w:r>
    </w:p>
    <w:p w:rsidR="00072B73" w:rsidRDefault="00EF158A">
      <w:pPr>
        <w:spacing w:before="25" w:after="0"/>
        <w:jc w:val="both"/>
      </w:pPr>
      <w:r>
        <w:rPr>
          <w:b/>
          <w:color w:val="000000"/>
        </w:rPr>
        <w:t>Status pod w</w:t>
      </w:r>
      <w:r>
        <w:rPr>
          <w:b/>
          <w:color w:val="000000"/>
        </w:rPr>
        <w:t xml:space="preserve">zględem </w:t>
      </w:r>
      <w:proofErr w:type="spellStart"/>
      <w:r>
        <w:rPr>
          <w:b/>
          <w:color w:val="000000"/>
        </w:rPr>
        <w:t>zgodności</w:t>
      </w:r>
      <w:r>
        <w:rPr>
          <w:color w:val="000000"/>
          <w:vertAlign w:val="superscript"/>
        </w:rPr>
        <w:t>ii</w:t>
      </w:r>
      <w:proofErr w:type="spellEnd"/>
    </w:p>
    <w:p w:rsidR="00072B73" w:rsidRDefault="00EF158A">
      <w:pPr>
        <w:spacing w:after="0"/>
      </w:pPr>
      <w:r>
        <w:rPr>
          <w:color w:val="000000"/>
        </w:rPr>
        <w:t xml:space="preserve">a) </w:t>
      </w:r>
      <w:r>
        <w:rPr>
          <w:color w:val="000000"/>
          <w:vertAlign w:val="superscript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[Niniejsza] [Niniejsze] [strona internetowa (strony internetowe)] [aplikacja mobilna (aplikacje mobilne)] [jest] [są] </w:t>
      </w:r>
      <w:r>
        <w:rPr>
          <w:color w:val="000000"/>
        </w:rPr>
        <w:t xml:space="preserve">w pełni </w:t>
      </w:r>
      <w:r>
        <w:rPr>
          <w:i/>
          <w:color w:val="000000"/>
        </w:rPr>
        <w:t xml:space="preserve">[zgodna] [zgodne] </w:t>
      </w:r>
      <w:r>
        <w:rPr>
          <w:color w:val="000000"/>
        </w:rPr>
        <w:t>z [xxx</w:t>
      </w:r>
      <w:r>
        <w:rPr>
          <w:color w:val="000000"/>
          <w:vertAlign w:val="superscript"/>
        </w:rPr>
        <w:t>iv</w:t>
      </w:r>
      <w:r>
        <w:rPr>
          <w:color w:val="000000"/>
        </w:rPr>
        <w:t>].</w:t>
      </w:r>
    </w:p>
    <w:p w:rsidR="00072B73" w:rsidRDefault="00EF158A">
      <w:pPr>
        <w:spacing w:after="0"/>
      </w:pPr>
      <w:r>
        <w:rPr>
          <w:color w:val="000000"/>
        </w:rPr>
        <w:t xml:space="preserve">b) </w:t>
      </w:r>
      <w:r>
        <w:rPr>
          <w:color w:val="000000"/>
          <w:vertAlign w:val="superscript"/>
        </w:rPr>
        <w:t>v</w:t>
      </w:r>
      <w:r>
        <w:rPr>
          <w:color w:val="000000"/>
        </w:rPr>
        <w:t xml:space="preserve"> </w:t>
      </w:r>
      <w:r>
        <w:rPr>
          <w:i/>
          <w:color w:val="000000"/>
        </w:rPr>
        <w:t>[Niniejsza] [Niniejsze] [strona internetowa (strony internetowe)] [ap</w:t>
      </w:r>
      <w:r>
        <w:rPr>
          <w:i/>
          <w:color w:val="000000"/>
        </w:rPr>
        <w:t xml:space="preserve">likacja mobilna (aplikacje mobilne)] [jest] [są] </w:t>
      </w:r>
      <w:r>
        <w:rPr>
          <w:color w:val="000000"/>
        </w:rPr>
        <w:t xml:space="preserve">częściowo </w:t>
      </w:r>
      <w:r>
        <w:rPr>
          <w:i/>
          <w:color w:val="000000"/>
        </w:rPr>
        <w:t>[zgodna] [zgodne]</w:t>
      </w:r>
      <w:r>
        <w:rPr>
          <w:color w:val="000000"/>
          <w:vertAlign w:val="superscript"/>
        </w:rPr>
        <w:t>vi</w:t>
      </w:r>
      <w:r>
        <w:rPr>
          <w:color w:val="000000"/>
        </w:rPr>
        <w:t xml:space="preserve"> z [xxx</w:t>
      </w:r>
      <w:r>
        <w:rPr>
          <w:color w:val="000000"/>
          <w:vertAlign w:val="superscript"/>
        </w:rPr>
        <w:t>vii</w:t>
      </w:r>
      <w:r>
        <w:rPr>
          <w:color w:val="000000"/>
        </w:rPr>
        <w:t xml:space="preserve">], z powodu </w:t>
      </w:r>
      <w:r>
        <w:rPr>
          <w:i/>
          <w:color w:val="000000"/>
        </w:rPr>
        <w:t>[niezgodności] [lub] [</w:t>
      </w:r>
      <w:proofErr w:type="spellStart"/>
      <w:r>
        <w:rPr>
          <w:i/>
          <w:color w:val="000000"/>
        </w:rPr>
        <w:t>wyłączeń</w:t>
      </w:r>
      <w:proofErr w:type="spellEnd"/>
      <w:r>
        <w:rPr>
          <w:i/>
          <w:color w:val="000000"/>
        </w:rPr>
        <w:t xml:space="preserve">] </w:t>
      </w:r>
      <w:r>
        <w:rPr>
          <w:color w:val="000000"/>
        </w:rPr>
        <w:t>wymienionych poniżej.</w:t>
      </w:r>
    </w:p>
    <w:p w:rsidR="00072B73" w:rsidRDefault="00EF158A">
      <w:pPr>
        <w:spacing w:after="0"/>
      </w:pPr>
      <w:r>
        <w:rPr>
          <w:color w:val="000000"/>
        </w:rPr>
        <w:lastRenderedPageBreak/>
        <w:t xml:space="preserve">c) </w:t>
      </w:r>
      <w:r>
        <w:rPr>
          <w:color w:val="000000"/>
          <w:vertAlign w:val="superscript"/>
        </w:rPr>
        <w:t>viii</w:t>
      </w:r>
      <w:r>
        <w:rPr>
          <w:color w:val="000000"/>
        </w:rPr>
        <w:t xml:space="preserve"> </w:t>
      </w:r>
      <w:r>
        <w:rPr>
          <w:i/>
          <w:color w:val="000000"/>
        </w:rPr>
        <w:t>[Niniejsza] [Niniejsze] [strona internetowa (strony internetowe)] [aplikacja mobilna (aplikacj</w:t>
      </w:r>
      <w:r>
        <w:rPr>
          <w:i/>
          <w:color w:val="000000"/>
        </w:rPr>
        <w:t xml:space="preserve">e mobilne)] [jest] [są] [niezgodna] [niezgodne] </w:t>
      </w:r>
      <w:r>
        <w:rPr>
          <w:color w:val="000000"/>
        </w:rPr>
        <w:t>z [xxx</w:t>
      </w:r>
      <w:r>
        <w:rPr>
          <w:color w:val="000000"/>
          <w:vertAlign w:val="superscript"/>
        </w:rPr>
        <w:t>ix</w:t>
      </w:r>
      <w:r>
        <w:rPr>
          <w:color w:val="000000"/>
        </w:rPr>
        <w:t xml:space="preserve">]. </w:t>
      </w:r>
      <w:r>
        <w:rPr>
          <w:i/>
          <w:color w:val="000000"/>
        </w:rPr>
        <w:t xml:space="preserve">[Niezgodność (niezgodności)] [lub] [wyłączenia] </w:t>
      </w:r>
      <w:r>
        <w:rPr>
          <w:color w:val="000000"/>
        </w:rPr>
        <w:t>wymieniono poniżej.</w:t>
      </w:r>
    </w:p>
    <w:p w:rsidR="00072B73" w:rsidRDefault="00EF158A">
      <w:pPr>
        <w:spacing w:before="25" w:after="0"/>
        <w:jc w:val="both"/>
      </w:pPr>
      <w:r>
        <w:rPr>
          <w:b/>
          <w:color w:val="000000"/>
        </w:rPr>
        <w:t xml:space="preserve">Treści </w:t>
      </w:r>
      <w:proofErr w:type="spellStart"/>
      <w:r>
        <w:rPr>
          <w:b/>
          <w:color w:val="000000"/>
        </w:rPr>
        <w:t>niedostępne</w:t>
      </w:r>
      <w:r>
        <w:rPr>
          <w:color w:val="000000"/>
          <w:vertAlign w:val="superscript"/>
        </w:rPr>
        <w:t>x</w:t>
      </w:r>
      <w:proofErr w:type="spellEnd"/>
    </w:p>
    <w:p w:rsidR="00072B73" w:rsidRDefault="00EF158A">
      <w:pPr>
        <w:spacing w:before="25" w:after="0"/>
        <w:jc w:val="both"/>
      </w:pPr>
      <w:r>
        <w:rPr>
          <w:color w:val="000000"/>
        </w:rPr>
        <w:t>Treści wymienione poniżej są niedostępne z następujących powodów:</w:t>
      </w:r>
    </w:p>
    <w:p w:rsidR="00072B73" w:rsidRDefault="00EF158A">
      <w:pPr>
        <w:spacing w:after="0"/>
      </w:pPr>
      <w:r>
        <w:rPr>
          <w:color w:val="000000"/>
        </w:rPr>
        <w:t xml:space="preserve">a) niezgodność z </w:t>
      </w:r>
      <w:r>
        <w:rPr>
          <w:i/>
          <w:color w:val="000000"/>
        </w:rPr>
        <w:t>[przepisami krajowymi]</w:t>
      </w:r>
    </w:p>
    <w:p w:rsidR="00072B73" w:rsidRDefault="00EF158A">
      <w:pPr>
        <w:spacing w:before="25" w:after="0"/>
        <w:jc w:val="both"/>
      </w:pPr>
      <w:r>
        <w:rPr>
          <w:i/>
          <w:color w:val="000000"/>
        </w:rPr>
        <w:t>[Pr</w:t>
      </w:r>
      <w:r>
        <w:rPr>
          <w:i/>
          <w:color w:val="000000"/>
        </w:rPr>
        <w:t xml:space="preserve">oszę wskazać niezgodność (niezgodności) strony internetowej (stron internetowych)/aplikacji mobilnej (mobilnych) lub opisać, które sekcje/treści/funkcje są jeszcze </w:t>
      </w:r>
      <w:proofErr w:type="spellStart"/>
      <w:r>
        <w:rPr>
          <w:i/>
          <w:color w:val="000000"/>
        </w:rPr>
        <w:t>niezgodne</w:t>
      </w:r>
      <w:r>
        <w:rPr>
          <w:color w:val="000000"/>
          <w:vertAlign w:val="superscript"/>
        </w:rPr>
        <w:t>xi</w:t>
      </w:r>
      <w:proofErr w:type="spellEnd"/>
      <w:r>
        <w:rPr>
          <w:i/>
          <w:color w:val="000000"/>
        </w:rPr>
        <w:t>]</w:t>
      </w:r>
    </w:p>
    <w:p w:rsidR="00072B73" w:rsidRDefault="00EF158A">
      <w:pPr>
        <w:spacing w:after="0"/>
      </w:pPr>
      <w:r>
        <w:rPr>
          <w:color w:val="000000"/>
        </w:rPr>
        <w:t>b) nieproporcjonalne obciążenie</w:t>
      </w:r>
    </w:p>
    <w:p w:rsidR="00072B73" w:rsidRDefault="00EF158A">
      <w:pPr>
        <w:spacing w:before="25" w:after="0"/>
        <w:jc w:val="both"/>
      </w:pPr>
      <w:r>
        <w:rPr>
          <w:i/>
          <w:color w:val="000000"/>
        </w:rPr>
        <w:t>[Proszę wymienić sekcje/treści/funkcje, w stosu</w:t>
      </w:r>
      <w:r>
        <w:rPr>
          <w:i/>
          <w:color w:val="000000"/>
        </w:rPr>
        <w:t xml:space="preserve">nku do których tymczasowo powołano się na wyłączenie z tytułu nieproporcjonalnego obciążenia w rozumieniu </w:t>
      </w:r>
      <w:r>
        <w:rPr>
          <w:i/>
          <w:color w:val="1B1B1B"/>
        </w:rPr>
        <w:t>art. 5</w:t>
      </w:r>
      <w:r>
        <w:rPr>
          <w:i/>
          <w:color w:val="000000"/>
        </w:rPr>
        <w:t xml:space="preserve"> dyrektywy (UE) 2016/2102]</w:t>
      </w:r>
    </w:p>
    <w:p w:rsidR="00072B73" w:rsidRDefault="00EF158A">
      <w:pPr>
        <w:spacing w:after="0"/>
      </w:pPr>
      <w:r>
        <w:rPr>
          <w:color w:val="000000"/>
        </w:rPr>
        <w:t>c) treść nie wchodzi w zakres mających zastosowanie przepisów</w:t>
      </w:r>
    </w:p>
    <w:p w:rsidR="00072B73" w:rsidRDefault="00EF158A">
      <w:pPr>
        <w:spacing w:before="25" w:after="0"/>
        <w:jc w:val="both"/>
      </w:pPr>
      <w:r>
        <w:rPr>
          <w:i/>
          <w:color w:val="000000"/>
        </w:rPr>
        <w:t>[Proszę wymienić sekcje/treści/funkcje, które nie wchod</w:t>
      </w:r>
      <w:r>
        <w:rPr>
          <w:i/>
          <w:color w:val="000000"/>
        </w:rPr>
        <w:t>zą w zakres mających zastosowanie przepisów]. [W stosownych przypadkach proszę wskazać dostępne rozwiązania alternatywne].</w:t>
      </w:r>
    </w:p>
    <w:p w:rsidR="00072B73" w:rsidRDefault="00EF158A">
      <w:pPr>
        <w:spacing w:before="25" w:after="0"/>
        <w:jc w:val="both"/>
      </w:pPr>
      <w:r>
        <w:rPr>
          <w:b/>
          <w:color w:val="000000"/>
        </w:rPr>
        <w:t>Przygotowanie oświadczenia w sprawie dostępności</w:t>
      </w:r>
    </w:p>
    <w:p w:rsidR="00072B73" w:rsidRDefault="00EF158A">
      <w:pPr>
        <w:spacing w:before="25" w:after="0"/>
        <w:jc w:val="both"/>
      </w:pPr>
      <w:r>
        <w:rPr>
          <w:color w:val="000000"/>
        </w:rPr>
        <w:t xml:space="preserve">Niniejsze oświadczenie sporządzono dnia </w:t>
      </w:r>
      <w:r>
        <w:rPr>
          <w:i/>
          <w:color w:val="000000"/>
        </w:rPr>
        <w:t>[</w:t>
      </w:r>
      <w:proofErr w:type="spellStart"/>
      <w:r>
        <w:rPr>
          <w:i/>
          <w:color w:val="000000"/>
        </w:rPr>
        <w:t>data</w:t>
      </w:r>
      <w:r>
        <w:rPr>
          <w:color w:val="000000"/>
          <w:vertAlign w:val="superscript"/>
        </w:rPr>
        <w:t>xii</w:t>
      </w:r>
      <w:proofErr w:type="spellEnd"/>
      <w:r>
        <w:rPr>
          <w:i/>
          <w:color w:val="000000"/>
        </w:rPr>
        <w:t xml:space="preserve">] </w:t>
      </w:r>
      <w:r>
        <w:rPr>
          <w:color w:val="000000"/>
        </w:rPr>
        <w:t>r.</w:t>
      </w:r>
    </w:p>
    <w:p w:rsidR="00072B73" w:rsidRDefault="00EF158A">
      <w:pPr>
        <w:spacing w:before="25" w:after="0"/>
        <w:jc w:val="both"/>
      </w:pPr>
      <w:r>
        <w:rPr>
          <w:i/>
          <w:color w:val="000000"/>
        </w:rPr>
        <w:t xml:space="preserve">[Proszę wskazać metodę przygotowania oświadczenia (zob. </w:t>
      </w:r>
      <w:r>
        <w:rPr>
          <w:i/>
          <w:color w:val="1B1B1B"/>
        </w:rPr>
        <w:t xml:space="preserve">art. </w:t>
      </w:r>
      <w:r>
        <w:rPr>
          <w:color w:val="1B1B1B"/>
        </w:rPr>
        <w:t xml:space="preserve">3 ust. </w:t>
      </w:r>
      <w:r>
        <w:rPr>
          <w:i/>
          <w:color w:val="1B1B1B"/>
        </w:rPr>
        <w:t>1</w:t>
      </w:r>
      <w:r>
        <w:rPr>
          <w:i/>
          <w:color w:val="000000"/>
        </w:rPr>
        <w:t xml:space="preserve"> decyzji wykonawczej Komisji (UE) 2018/1523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] [Oświadczenie zostało ostatnio poddane przeglądowi w dniu [wstawić </w:t>
      </w:r>
      <w:r>
        <w:rPr>
          <w:i/>
          <w:color w:val="000000"/>
        </w:rPr>
        <w:t xml:space="preserve">datę ostatniego </w:t>
      </w:r>
      <w:proofErr w:type="spellStart"/>
      <w:r>
        <w:rPr>
          <w:i/>
          <w:color w:val="000000"/>
        </w:rPr>
        <w:t>przeglądu</w:t>
      </w:r>
      <w:r>
        <w:rPr>
          <w:color w:val="000000"/>
          <w:vertAlign w:val="superscript"/>
        </w:rPr>
        <w:t>xiii</w:t>
      </w:r>
      <w:proofErr w:type="spellEnd"/>
      <w:r>
        <w:rPr>
          <w:i/>
          <w:color w:val="000000"/>
        </w:rPr>
        <w:t xml:space="preserve">] </w:t>
      </w:r>
      <w:r>
        <w:rPr>
          <w:color w:val="000000"/>
        </w:rPr>
        <w:t>r.]</w:t>
      </w:r>
    </w:p>
    <w:p w:rsidR="00072B73" w:rsidRDefault="00EF158A">
      <w:pPr>
        <w:spacing w:before="25" w:after="0"/>
        <w:jc w:val="both"/>
      </w:pPr>
      <w:r>
        <w:rPr>
          <w:b/>
          <w:color w:val="000000"/>
        </w:rPr>
        <w:t>Informacje zwrotne i dane kontaktowe</w:t>
      </w:r>
    </w:p>
    <w:p w:rsidR="00072B73" w:rsidRDefault="00EF158A">
      <w:pPr>
        <w:spacing w:before="25" w:after="0"/>
        <w:jc w:val="both"/>
      </w:pPr>
      <w:r>
        <w:rPr>
          <w:i/>
          <w:color w:val="000000"/>
        </w:rPr>
        <w:t>[Proszę przedstawić opis (wraz z odnośnikiem) mechanizmu informacji zwrotnej, który ma być stosowany do zgłaszania organowi sektora publicznego wszelkich nieprawidłowości w zakresie zgodności oraz występowania o informacje i treści wyłączone z zakresu dyre</w:t>
      </w:r>
      <w:r>
        <w:rPr>
          <w:i/>
          <w:color w:val="000000"/>
        </w:rPr>
        <w:t>ktywy].</w:t>
      </w:r>
    </w:p>
    <w:p w:rsidR="00072B73" w:rsidRDefault="00EF158A">
      <w:pPr>
        <w:spacing w:before="25" w:after="0"/>
        <w:jc w:val="both"/>
      </w:pPr>
      <w:r>
        <w:rPr>
          <w:i/>
          <w:color w:val="000000"/>
        </w:rPr>
        <w:t>[Proszę podać dane kontaktowe odpowiednich podmiotów/jednostek/osób (stosownie do przypadku) odpowiedzialnych za dostępność i rozpatrywanie wniosków przesłanych za pośrednictwem mechanizmu informacji zwrotnej].</w:t>
      </w:r>
    </w:p>
    <w:p w:rsidR="00072B73" w:rsidRDefault="00EF158A">
      <w:pPr>
        <w:spacing w:before="25" w:after="0"/>
        <w:jc w:val="both"/>
      </w:pPr>
      <w:r>
        <w:rPr>
          <w:b/>
          <w:color w:val="000000"/>
        </w:rPr>
        <w:t>Postępowanie odwoławcze</w:t>
      </w:r>
    </w:p>
    <w:p w:rsidR="00072B73" w:rsidRDefault="00EF158A">
      <w:pPr>
        <w:spacing w:before="25" w:after="0"/>
        <w:jc w:val="both"/>
      </w:pPr>
      <w:r>
        <w:rPr>
          <w:i/>
          <w:color w:val="000000"/>
        </w:rPr>
        <w:t>[Proszę przed</w:t>
      </w:r>
      <w:r>
        <w:rPr>
          <w:i/>
          <w:color w:val="000000"/>
        </w:rPr>
        <w:t>stawić opis (wraz z odnośnikiem) postępowania odwoławczego w przypadku niezadowalającej odpowiedzi na powiadomienie lub wniosek przesłany zgodnie z art. 7 ust. 1 lit. b) dyrektywy].</w:t>
      </w:r>
    </w:p>
    <w:p w:rsidR="00072B73" w:rsidRDefault="00EF158A">
      <w:pPr>
        <w:spacing w:before="25" w:after="0"/>
        <w:jc w:val="both"/>
      </w:pPr>
      <w:r>
        <w:rPr>
          <w:i/>
          <w:color w:val="000000"/>
        </w:rPr>
        <w:t>[Proszę podać dane kontaktowe właściwego organu odpowiedzialnego za postęp</w:t>
      </w:r>
      <w:r>
        <w:rPr>
          <w:i/>
          <w:color w:val="000000"/>
        </w:rPr>
        <w:t>owanie odwoławcze].</w:t>
      </w:r>
    </w:p>
    <w:p w:rsidR="00072B73" w:rsidRDefault="00072B73">
      <w:pPr>
        <w:spacing w:after="0"/>
      </w:pPr>
    </w:p>
    <w:p w:rsidR="00072B73" w:rsidRDefault="00EF158A">
      <w:pPr>
        <w:spacing w:before="80" w:after="0"/>
        <w:jc w:val="center"/>
      </w:pPr>
      <w:r>
        <w:rPr>
          <w:b/>
          <w:color w:val="000000"/>
        </w:rPr>
        <w:t xml:space="preserve">SEKCJA  2 </w:t>
      </w:r>
    </w:p>
    <w:p w:rsidR="00072B73" w:rsidRDefault="00EF158A">
      <w:pPr>
        <w:spacing w:before="25" w:after="0"/>
        <w:jc w:val="center"/>
      </w:pPr>
      <w:r>
        <w:rPr>
          <w:b/>
          <w:color w:val="000000"/>
        </w:rPr>
        <w:t>TREŚĆ OPCJONALNA</w:t>
      </w:r>
    </w:p>
    <w:p w:rsidR="00072B73" w:rsidRDefault="00EF158A">
      <w:pPr>
        <w:spacing w:after="0"/>
      </w:pPr>
      <w:r>
        <w:rPr>
          <w:color w:val="000000"/>
        </w:rPr>
        <w:t>Następująca treść opcjonalna może zostać dodana do oświadczenia w sprawie dostępności, w zależności od przypadku:</w:t>
      </w:r>
    </w:p>
    <w:p w:rsidR="00072B73" w:rsidRDefault="00EF158A">
      <w:pPr>
        <w:spacing w:before="26" w:after="0"/>
        <w:ind w:left="373"/>
      </w:pPr>
      <w:r>
        <w:rPr>
          <w:color w:val="000000"/>
        </w:rPr>
        <w:t>1) wyjaśnienie dotyczące zobowiązania organu sektora publicznego w zakresie dostępności cyfro</w:t>
      </w:r>
      <w:r>
        <w:rPr>
          <w:color w:val="000000"/>
        </w:rPr>
        <w:t>wej, na przykład:</w:t>
      </w:r>
    </w:p>
    <w:p w:rsidR="00072B73" w:rsidRDefault="00EF158A">
      <w:pPr>
        <w:spacing w:after="0"/>
        <w:ind w:left="373"/>
      </w:pPr>
      <w:r>
        <w:rPr>
          <w:color w:val="000000"/>
        </w:rPr>
        <w:lastRenderedPageBreak/>
        <w:t>- zamiar osiągnięcia wyższego poziomu dostępności niż wymagany prawem,</w:t>
      </w:r>
    </w:p>
    <w:p w:rsidR="00072B73" w:rsidRDefault="00EF158A">
      <w:pPr>
        <w:spacing w:after="0"/>
        <w:ind w:left="373"/>
      </w:pPr>
      <w:r>
        <w:rPr>
          <w:color w:val="000000"/>
        </w:rPr>
        <w:t>- środki zaradcze, które zostaną podjęte w celu rozwiązania kwestii niedostępnych treści na stronach internetowych i w aplikacjach mobilnych, w tym ramy czasowe wprowa</w:t>
      </w:r>
      <w:r>
        <w:rPr>
          <w:color w:val="000000"/>
        </w:rPr>
        <w:t>dzenia tych środków w życie;</w:t>
      </w:r>
    </w:p>
    <w:p w:rsidR="00072B73" w:rsidRDefault="00EF158A">
      <w:pPr>
        <w:spacing w:before="26" w:after="0"/>
        <w:ind w:left="373"/>
      </w:pPr>
      <w:r>
        <w:rPr>
          <w:color w:val="000000"/>
        </w:rPr>
        <w:t>2) formalne zatwierdzenie (na poziomie administracyjnym lub politycznym) oświadczenia w sprawie dostępności;</w:t>
      </w:r>
    </w:p>
    <w:p w:rsidR="00072B73" w:rsidRDefault="00EF158A">
      <w:pPr>
        <w:spacing w:before="26" w:after="0"/>
        <w:ind w:left="373"/>
      </w:pPr>
      <w:r>
        <w:rPr>
          <w:color w:val="000000"/>
        </w:rPr>
        <w:t>3) data publikacji strony internetowej lub aplikacji mobilnej;</w:t>
      </w:r>
    </w:p>
    <w:p w:rsidR="00072B73" w:rsidRDefault="00EF158A">
      <w:pPr>
        <w:spacing w:before="26" w:after="0"/>
        <w:ind w:left="373"/>
      </w:pPr>
      <w:r>
        <w:rPr>
          <w:color w:val="000000"/>
        </w:rPr>
        <w:t xml:space="preserve">4) data ostatniej aktualizacji strony internetowej lub </w:t>
      </w:r>
      <w:r>
        <w:rPr>
          <w:color w:val="000000"/>
        </w:rPr>
        <w:t>aplikacji mobilnej po dokonaniu istotnej zmiany ich zawartości;</w:t>
      </w:r>
    </w:p>
    <w:p w:rsidR="00072B73" w:rsidRDefault="00EF158A">
      <w:pPr>
        <w:spacing w:before="26" w:after="0"/>
        <w:ind w:left="373"/>
      </w:pPr>
      <w:r>
        <w:rPr>
          <w:color w:val="000000"/>
        </w:rPr>
        <w:t>5) odnośnik do sprawozdania z oceny, o ile jest dostępne, oraz w szczególności, jeżeli status strony internetowej lub aplikacji mobilnej pod względem zgodności wskazano jako "a) w pełni zgodna</w:t>
      </w:r>
      <w:r>
        <w:rPr>
          <w:color w:val="000000"/>
        </w:rPr>
        <w:t>";</w:t>
      </w:r>
    </w:p>
    <w:p w:rsidR="00072B73" w:rsidRDefault="00EF158A">
      <w:pPr>
        <w:spacing w:before="26" w:after="0"/>
        <w:ind w:left="373"/>
      </w:pPr>
      <w:r>
        <w:rPr>
          <w:color w:val="000000"/>
        </w:rPr>
        <w:t>6) dodatkowa pomoc telefoniczna dla osób niepełnosprawnych oraz wsparcie dla użytkowników technologii wspomagających;</w:t>
      </w:r>
    </w:p>
    <w:p w:rsidR="00072B73" w:rsidRDefault="00EF158A">
      <w:pPr>
        <w:spacing w:before="26" w:after="0"/>
        <w:ind w:left="373"/>
      </w:pPr>
      <w:r>
        <w:rPr>
          <w:color w:val="000000"/>
        </w:rPr>
        <w:t>7) wszelkie inne treści uznane za stosowne.</w:t>
      </w:r>
    </w:p>
    <w:p w:rsidR="00072B73" w:rsidRDefault="00EF158A">
      <w:pPr>
        <w:spacing w:before="25" w:after="0"/>
        <w:jc w:val="both"/>
      </w:pPr>
      <w:r>
        <w:rPr>
          <w:color w:val="000000"/>
        </w:rPr>
        <w:t>____________</w:t>
      </w:r>
    </w:p>
    <w:p w:rsidR="00072B73" w:rsidRDefault="00EF158A">
      <w:pPr>
        <w:spacing w:before="25" w:after="0"/>
        <w:jc w:val="both"/>
      </w:pPr>
      <w:r>
        <w:rPr>
          <w:color w:val="000000"/>
          <w:vertAlign w:val="superscript"/>
        </w:rPr>
        <w:t>i</w:t>
      </w:r>
      <w:r>
        <w:rPr>
          <w:color w:val="000000"/>
        </w:rPr>
        <w:t xml:space="preserve"> W przypadku aplikacji mobilnych należy podać informacje o wersji i datę.</w:t>
      </w:r>
    </w:p>
    <w:p w:rsidR="00072B73" w:rsidRDefault="00EF158A">
      <w:pPr>
        <w:spacing w:before="25" w:after="0"/>
        <w:jc w:val="both"/>
      </w:pPr>
      <w:r>
        <w:rPr>
          <w:color w:val="000000"/>
          <w:vertAlign w:val="superscript"/>
        </w:rPr>
        <w:t>ii</w:t>
      </w:r>
      <w:r>
        <w:rPr>
          <w:color w:val="000000"/>
        </w:rPr>
        <w:t xml:space="preserve"> </w:t>
      </w:r>
      <w:r>
        <w:rPr>
          <w:color w:val="000000"/>
        </w:rPr>
        <w:t>Proszę wybrać jedną z poniższych opcji, np. a), b) lub c), i usunąć opcje niemające zastosowania.</w:t>
      </w:r>
    </w:p>
    <w:p w:rsidR="00072B73" w:rsidRDefault="00EF158A">
      <w:pPr>
        <w:spacing w:before="25" w:after="0"/>
        <w:jc w:val="both"/>
      </w:pPr>
      <w:r>
        <w:rPr>
          <w:color w:val="000000"/>
          <w:vertAlign w:val="superscript"/>
        </w:rPr>
        <w:t>iii</w:t>
      </w:r>
      <w:r>
        <w:rPr>
          <w:color w:val="000000"/>
        </w:rPr>
        <w:t xml:space="preserve"> Proszę wybrać lit. a), jeśli zostały w pełni spełnione wszystkie wymogi określone w normach lub specyfikacji technicznej, bez wyjątków.</w:t>
      </w:r>
    </w:p>
    <w:p w:rsidR="00072B73" w:rsidRDefault="00EF158A">
      <w:pPr>
        <w:spacing w:before="25" w:after="0"/>
        <w:jc w:val="both"/>
      </w:pPr>
      <w:r>
        <w:rPr>
          <w:color w:val="000000"/>
          <w:vertAlign w:val="superscript"/>
        </w:rPr>
        <w:t>iv</w:t>
      </w:r>
      <w:r>
        <w:rPr>
          <w:color w:val="000000"/>
        </w:rPr>
        <w:t xml:space="preserve"> Proszę wstawić </w:t>
      </w:r>
      <w:r>
        <w:rPr>
          <w:color w:val="000000"/>
        </w:rPr>
        <w:t>odniesienie do norm lub specyfikacji technicznych, lub odniesienie do przepisów krajowych transponujących dyrektywę.</w:t>
      </w:r>
    </w:p>
    <w:p w:rsidR="00072B73" w:rsidRDefault="00EF158A">
      <w:pPr>
        <w:spacing w:before="25" w:after="0"/>
        <w:jc w:val="both"/>
      </w:pPr>
      <w:r>
        <w:rPr>
          <w:color w:val="000000"/>
          <w:vertAlign w:val="superscript"/>
        </w:rPr>
        <w:t>v</w:t>
      </w:r>
      <w:r>
        <w:rPr>
          <w:color w:val="000000"/>
        </w:rPr>
        <w:t xml:space="preserve"> Proszę wybrać lit. b), jeśli spełniono większość wymogów określonych w normach lub specyfikacji technicznej, z pewnymi wyjątkami.</w:t>
      </w:r>
    </w:p>
    <w:p w:rsidR="00072B73" w:rsidRDefault="00EF158A">
      <w:pPr>
        <w:spacing w:before="25" w:after="0"/>
        <w:jc w:val="both"/>
      </w:pPr>
      <w:r>
        <w:rPr>
          <w:color w:val="000000"/>
          <w:vertAlign w:val="superscript"/>
        </w:rPr>
        <w:t>vi</w:t>
      </w:r>
      <w:r>
        <w:rPr>
          <w:color w:val="000000"/>
        </w:rPr>
        <w:t xml:space="preserve"> Oznacza to, że brak jest pełnej zgodności i że należy zastosować niezbędne środki w celu osiągnięcia pełnej zgodności.</w:t>
      </w:r>
    </w:p>
    <w:p w:rsidR="00072B73" w:rsidRDefault="00EF158A">
      <w:pPr>
        <w:spacing w:before="25" w:after="0"/>
        <w:jc w:val="both"/>
      </w:pPr>
      <w:r>
        <w:rPr>
          <w:color w:val="000000"/>
          <w:vertAlign w:val="superscript"/>
        </w:rPr>
        <w:t>vii</w:t>
      </w:r>
      <w:r>
        <w:rPr>
          <w:color w:val="000000"/>
        </w:rPr>
        <w:t xml:space="preserve"> Proszę wstawić odniesienie do norm lub specyfikacji technicznych, lub odniesienie do przepisów krajowych transponujących dyrektywę.</w:t>
      </w:r>
    </w:p>
    <w:p w:rsidR="00072B73" w:rsidRDefault="00EF158A">
      <w:pPr>
        <w:spacing w:before="25" w:after="0"/>
        <w:jc w:val="both"/>
      </w:pPr>
      <w:r>
        <w:rPr>
          <w:color w:val="000000"/>
          <w:vertAlign w:val="superscript"/>
        </w:rPr>
        <w:t>viii</w:t>
      </w:r>
      <w:r>
        <w:rPr>
          <w:color w:val="000000"/>
        </w:rPr>
        <w:t xml:space="preserve"> Proszę wybrać lit. c), jeśli nie spełniono większości wymogów określonych w normach lub specyfikacji technicznej.</w:t>
      </w:r>
    </w:p>
    <w:p w:rsidR="00072B73" w:rsidRDefault="00EF158A">
      <w:pPr>
        <w:spacing w:before="25" w:after="0"/>
        <w:jc w:val="both"/>
      </w:pPr>
      <w:r>
        <w:rPr>
          <w:color w:val="000000"/>
          <w:vertAlign w:val="superscript"/>
        </w:rPr>
        <w:t>ix</w:t>
      </w:r>
      <w:r>
        <w:rPr>
          <w:color w:val="000000"/>
        </w:rPr>
        <w:t xml:space="preserve"> Proszę wstawić odniesienie do norm lub specyfikacji technicznych, lub odniesienie do przepisów krajowych transponujących dyrektywę.</w:t>
      </w:r>
    </w:p>
    <w:p w:rsidR="00072B73" w:rsidRDefault="00EF158A">
      <w:pPr>
        <w:spacing w:before="25" w:after="0"/>
        <w:jc w:val="both"/>
      </w:pPr>
      <w:r>
        <w:rPr>
          <w:color w:val="000000"/>
          <w:vertAlign w:val="superscript"/>
        </w:rPr>
        <w:t>x</w:t>
      </w:r>
      <w:r>
        <w:rPr>
          <w:color w:val="000000"/>
        </w:rPr>
        <w:t xml:space="preserve"> </w:t>
      </w:r>
      <w:r>
        <w:rPr>
          <w:color w:val="000000"/>
        </w:rPr>
        <w:t>Można usunąć, jeśli nie dotyczy.</w:t>
      </w:r>
    </w:p>
    <w:p w:rsidR="00072B73" w:rsidRDefault="00EF158A">
      <w:pPr>
        <w:spacing w:before="25" w:after="0"/>
        <w:jc w:val="both"/>
      </w:pPr>
      <w:r>
        <w:rPr>
          <w:color w:val="000000"/>
          <w:vertAlign w:val="superscript"/>
        </w:rPr>
        <w:t>xi</w:t>
      </w:r>
      <w:r>
        <w:rPr>
          <w:color w:val="000000"/>
        </w:rPr>
        <w:t xml:space="preserve"> Proszę opisać w kategoriach nietechnicznych, w najszerszym możliwym zakresie, sposób, w jaki treści nie są dostępne, w tym odniesienie do mających zastosowanie wymogów określonych w odnośnych normach lub specyfikacjach t</w:t>
      </w:r>
      <w:r>
        <w:rPr>
          <w:color w:val="000000"/>
        </w:rPr>
        <w:t>echnicznych, które nie są spełnione, na przykład:</w:t>
      </w:r>
    </w:p>
    <w:p w:rsidR="00072B73" w:rsidRDefault="00EF158A">
      <w:pPr>
        <w:spacing w:before="25" w:after="0"/>
        <w:jc w:val="both"/>
      </w:pPr>
      <w:r>
        <w:rPr>
          <w:color w:val="000000"/>
        </w:rPr>
        <w:t>"Panel logowania w aplikacji służącej wymianie dokumentów nie jest w pełni dostępny za pomocą klawiatury (wymóg nr XXX (w stosownych przypadkach))"</w:t>
      </w:r>
    </w:p>
    <w:p w:rsidR="00072B73" w:rsidRDefault="00EF158A">
      <w:pPr>
        <w:spacing w:before="25" w:after="0"/>
        <w:jc w:val="both"/>
      </w:pPr>
      <w:r>
        <w:rPr>
          <w:color w:val="000000"/>
          <w:vertAlign w:val="superscript"/>
        </w:rPr>
        <w:t>xii</w:t>
      </w:r>
      <w:r>
        <w:rPr>
          <w:color w:val="000000"/>
        </w:rPr>
        <w:t xml:space="preserve"> Proszę wstawić datę pierwszego sporządzenia lub późnie</w:t>
      </w:r>
      <w:r>
        <w:rPr>
          <w:color w:val="000000"/>
        </w:rPr>
        <w:t xml:space="preserve">jszej aktualizacji oświadczenia w sprawie dostępności, po dokonaniu oceny stron internetowych/aplikacji mobilnych, do </w:t>
      </w:r>
      <w:r>
        <w:rPr>
          <w:color w:val="000000"/>
        </w:rPr>
        <w:lastRenderedPageBreak/>
        <w:t>których ma ono zastosowanie. Zaleca się przeprowadzenie oceny i aktualizację oświadczenia po wprowadzaniu istotnych zmian na stronie inter</w:t>
      </w:r>
      <w:r>
        <w:rPr>
          <w:color w:val="000000"/>
        </w:rPr>
        <w:t>netowej/w aplikacji mobilnej.</w:t>
      </w:r>
    </w:p>
    <w:p w:rsidR="00072B73" w:rsidRDefault="00EF158A">
      <w:pPr>
        <w:spacing w:before="25" w:after="0"/>
        <w:jc w:val="both"/>
      </w:pPr>
      <w:r>
        <w:rPr>
          <w:color w:val="000000"/>
          <w:vertAlign w:val="superscript"/>
        </w:rPr>
        <w:t>xiii</w:t>
      </w:r>
      <w:r>
        <w:rPr>
          <w:color w:val="000000"/>
        </w:rPr>
        <w:t xml:space="preserve"> Zaleca się, aby zapisy zawarte w oświadczeniu w sprawie dostępności były regularnie (przynajmniej raz w roku) poddawane przeglądowi pod kątem ich precyzyjności. Jeżeli taki przegląd przeprowadzono bez pełnej oceny strony </w:t>
      </w:r>
      <w:r>
        <w:rPr>
          <w:color w:val="000000"/>
        </w:rPr>
        <w:t>internetowej/aplikacji mobilnej, niezależnie od tego, czy przegląd taki doprowadził do jakichkolwiek zmian w oświadczeniu w sprawie dostępności, proszę podać datę ostatniego takiego przeglądu.</w:t>
      </w:r>
    </w:p>
    <w:p w:rsidR="00072B73" w:rsidRDefault="00EF158A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Dz.U. L 327 z 2.12.2016, s. 1.</w:t>
      </w:r>
    </w:p>
    <w:p w:rsidR="00072B73" w:rsidRDefault="00EF158A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</w:t>
      </w:r>
      <w:r>
        <w:rPr>
          <w:color w:val="1B1B1B"/>
        </w:rPr>
        <w:t>Dyrektywa</w:t>
      </w:r>
      <w:r>
        <w:rPr>
          <w:color w:val="000000"/>
        </w:rPr>
        <w:t xml:space="preserve"> 2003/98/WE Parlame</w:t>
      </w:r>
      <w:r>
        <w:rPr>
          <w:color w:val="000000"/>
        </w:rPr>
        <w:t>ntu Europejskiego i Rady z dnia 17 listopada 2003 r. w sprawie ponownego wykorzystywania informacji sektora publicznego (Dz.U. L 345 z 31.12.2003, s. 90).</w:t>
      </w:r>
    </w:p>
    <w:p w:rsidR="00072B73" w:rsidRDefault="00EF158A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</w:t>
      </w:r>
      <w:r>
        <w:rPr>
          <w:color w:val="1B1B1B"/>
        </w:rPr>
        <w:t>Dyrektywa</w:t>
      </w:r>
      <w:r>
        <w:rPr>
          <w:color w:val="000000"/>
        </w:rPr>
        <w:t xml:space="preserve"> Parlamentu Europejskiego i Rady (UE) 2016/2102 z dnia 26 października 2016 r. w sprawie d</w:t>
      </w:r>
      <w:r>
        <w:rPr>
          <w:color w:val="000000"/>
        </w:rPr>
        <w:t>ostępności stron internetowych i mobilnych aplikacji organów sektora publicznego (Dz.U. L 327 z 2.12.2016, s. 1).</w:t>
      </w:r>
    </w:p>
    <w:p w:rsidR="00072B73" w:rsidRDefault="00EF158A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</w:t>
      </w:r>
      <w:r>
        <w:rPr>
          <w:color w:val="1B1B1B"/>
        </w:rPr>
        <w:t>Decyzja</w:t>
      </w:r>
      <w:r>
        <w:rPr>
          <w:color w:val="000000"/>
        </w:rPr>
        <w:t xml:space="preserve"> wykonawcza Komisji (UE) 2018/1523 z dnia 11 października 2018 r. ustanawiająca wzór oświadczenia w sprawie dostępności zgodnie z dyr</w:t>
      </w:r>
      <w:r>
        <w:rPr>
          <w:color w:val="000000"/>
        </w:rPr>
        <w:t>ektywą Parlamentu Europejskiego i Rady (UE) 2016/2102 w sprawie dostępności stron internetowych i mobilnych aplikacji organów sektora publicznego (Dz.U. L 256 z 12.10.2018, s. 103).</w:t>
      </w:r>
    </w:p>
    <w:sectPr w:rsidR="00072B7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6CBD"/>
    <w:multiLevelType w:val="multilevel"/>
    <w:tmpl w:val="DD9EAEB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3"/>
    <w:rsid w:val="00072B73"/>
    <w:rsid w:val="00E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10899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Dobczyce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Góralik-Piętka</dc:creator>
  <cp:lastModifiedBy>Małgorzata Góralik-Piętka</cp:lastModifiedBy>
  <cp:revision>2</cp:revision>
  <cp:lastPrinted>2020-09-14T12:34:00Z</cp:lastPrinted>
  <dcterms:created xsi:type="dcterms:W3CDTF">2020-09-14T12:45:00Z</dcterms:created>
  <dcterms:modified xsi:type="dcterms:W3CDTF">2020-09-14T12:45:00Z</dcterms:modified>
</cp:coreProperties>
</file>